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2792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关于《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林周县直达资金监督管理办法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》</w:t>
      </w:r>
    </w:p>
    <w:p w14:paraId="1B6FD8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风险评估说明</w:t>
      </w:r>
    </w:p>
    <w:p w14:paraId="33276F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</w:p>
    <w:p w14:paraId="651A10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为保障《林周县直达资金监督管理办法》（以下简称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办法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）有效实施，现对其执行过程中可能存在的风险进行评估，具体如下：</w:t>
      </w:r>
    </w:p>
    <w:p w14:paraId="50893E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一、资金分配环节风险</w:t>
      </w:r>
    </w:p>
    <w:p w14:paraId="04878D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时效性风险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办法要求县财政局在3个工作日内完成直达资金分配，但实际操作中可能因上级资金信息传递延迟、部门沟通衔接不畅等，导致分配超时，影响资金使用进度。</w:t>
      </w:r>
    </w:p>
    <w:p w14:paraId="595FEF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标识与录入风险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若财政预算管理一体化系统和直达资金监控系统操作不规范，可能出现资金未单独标识、信息录入错误或不同步的情况，影响动态监测的准确性。</w:t>
      </w:r>
    </w:p>
    <w:p w14:paraId="527A5E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二、资金使用管理风险</w:t>
      </w:r>
    </w:p>
    <w:p w14:paraId="7155E3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支付合规性风险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资金使用单位可能违反国库集中支付制度，将资金违规转至实有资金账户或政府融资平台公司，违背直达资金使用规定。</w:t>
      </w:r>
    </w:p>
    <w:p w14:paraId="04DD0D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资金使用效率风险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部分单位可能因项目推进缓慢等原因，导致直达资金当年未使用完毕且未按要求及时报县财政局调整，存在资金被收回或造成不良影响的风险，同时使用单位需承担相关责任。</w:t>
      </w:r>
    </w:p>
    <w:p w14:paraId="72C786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sz w:val="32"/>
          <w:szCs w:val="32"/>
        </w:rPr>
        <w:t>三、协作与执行环节风险</w:t>
      </w:r>
    </w:p>
    <w:p w14:paraId="6FC431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部门协作风险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县财政局、农行林周县支行及资金使用单位若协调配合不到位，缺乏有效沟通机制，可能形成工作壁垒，影响资金拨付效率和使用效益，难以充分发挥直达资金在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六稳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”“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六保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中的作用。</w:t>
      </w:r>
    </w:p>
    <w:p w14:paraId="5F0306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绩效目标设定风险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资金使用单位在细化预算时，若绩效目标设定不科学、不合理，可能导致资金投向偏离政策规定，无法实现预期效益。</w:t>
      </w:r>
    </w:p>
    <w:p w14:paraId="057925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四、监督与问责环节风险</w:t>
      </w:r>
    </w:p>
    <w:p w14:paraId="0732F3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督办与约谈效果风险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县政府对资金执行缓慢部门的督办及约谈，若缺乏后续跟进措施，可能难以切实推动部门加快资金执行，导致督办流于形式。</w:t>
      </w:r>
    </w:p>
    <w:p w14:paraId="702A37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问责力度风险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虽然办法明确了违法违纪行为的追责问责机制，但在实际执行中，若存在问责标准不清晰、执行不到位的情况，可能无法形成有效震慑，难以遏制违法违纪行为。</w:t>
      </w:r>
    </w:p>
    <w:p w14:paraId="5FB25E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五、信息公开与整改风险</w:t>
      </w:r>
    </w:p>
    <w:p w14:paraId="1BE7EB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信息公开风险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直达资金分配情况若未按《预算法》及政府信息公开要求及时、准确公开，可能引发社会质疑，影响政府公信力，同时也无法有效接受人大和社会监督。</w:t>
      </w:r>
    </w:p>
    <w:p w14:paraId="5A697D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问题整改风险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资金使用单位对发现的问题整改不力，且县财政局未能及时将情况报县政府并抄送县纪委监委，可能导致问题长期存在，影响资金管理的规范性。</w:t>
      </w:r>
    </w:p>
    <w:p w14:paraId="63AE10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六、考核机制风险</w:t>
      </w:r>
    </w:p>
    <w:p w14:paraId="2F8BE5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若直达资金使用管理情况与年度综合考核、年度预算安排的挂钩机制不明确，考核指标设置不合理或考核结果应用不到位，可能无法有效激励各单位规范管理和高效使用直达资金。</w:t>
      </w:r>
    </w:p>
    <w:p w14:paraId="1A610D01">
      <w:pPr>
        <w:pStyle w:val="2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00A4522F">
      <w:pPr>
        <w:pStyle w:val="2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25FEC5F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6080" w:firstLineChars="19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林周县财政局</w:t>
      </w:r>
    </w:p>
    <w:p w14:paraId="125E0E8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5760" w:firstLineChars="18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2022年10月10日</w:t>
      </w:r>
    </w:p>
    <w:p w14:paraId="087FE5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</w:p>
    <w:p w14:paraId="77E9C9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348942">
    <w:pPr>
      <w:pStyle w:val="3"/>
      <w:jc w:val="center"/>
      <w:rPr>
        <w:rFonts w:hint="eastAsia" w:ascii="方正仿宋_GBK" w:eastAsia="方正仿宋_GBK"/>
        <w:sz w:val="24"/>
        <w:szCs w:val="24"/>
      </w:rPr>
    </w:pPr>
    <w:r>
      <w:rPr>
        <w:sz w:val="18"/>
      </w:rP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525" cy="20447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524" cy="204647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round/>
                      </a:ln>
                      <a:effectLst/>
                    </wps:spPr>
                    <wps:txbx>
                      <w:txbxContent>
                        <w:p w14:paraId="2BBCCB8E">
                          <w:pPr>
                            <w:pStyle w:val="3"/>
                            <w:rPr>
                              <w:rStyle w:val="8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025" o:spid="_x0000_s1026" o:spt="1" style="position:absolute;left:0pt;margin-top:0pt;height:16.1pt;width:0.7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Q7U9R0QAAAAIBAAAPAAAAAAAAAAEAIAAAACIAAABkcnMvZG93&#10;bnJldi54bWxQSwECFAAUAAAACACHTuJA6Lsx6wcCAAADBAAADgAAAAAAAAABACAAAAAgAQAAZHJz&#10;L2Uyb0RvYy54bWxQSwUGAAAAAAYABgBZAQAAmQUAAAAA&#10;">
              <v:fill on="f" focussize="0,0"/>
              <v:stroke on="f" joinstyle="round"/>
              <v:imagedata o:title=""/>
              <o:lock v:ext="edit" aspectratio="f"/>
              <v:textbox inset="0mm,0mm,0mm,0mm" style="mso-fit-shape-to-text:t;">
                <w:txbxContent>
                  <w:p w14:paraId="2BBCCB8E">
                    <w:pPr>
                      <w:pStyle w:val="3"/>
                      <w:rPr>
                        <w:rStyle w:val="8"/>
                        <w:sz w:val="28"/>
                        <w:szCs w:val="28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rFonts w:hint="eastAsia" w:ascii="方正仿宋_GBK" w:eastAsia="方正仿宋_GBK"/>
        <w:sz w:val="24"/>
        <w:szCs w:val="24"/>
      </w:rPr>
      <w:fldChar w:fldCharType="begin"/>
    </w:r>
    <w:r>
      <w:rPr>
        <w:rFonts w:hint="eastAsia" w:ascii="方正仿宋_GBK" w:eastAsia="方正仿宋_GBK"/>
        <w:sz w:val="24"/>
        <w:szCs w:val="24"/>
      </w:rPr>
      <w:instrText xml:space="preserve">Page</w:instrText>
    </w:r>
    <w:r>
      <w:rPr>
        <w:rFonts w:hint="eastAsia" w:ascii="方正仿宋_GBK" w:eastAsia="方正仿宋_GBK"/>
        <w:sz w:val="24"/>
        <w:szCs w:val="24"/>
      </w:rPr>
      <w:fldChar w:fldCharType="separate"/>
    </w:r>
    <w:r>
      <w:rPr>
        <w:rFonts w:hint="eastAsia" w:ascii="方正仿宋_GBK" w:eastAsia="方正仿宋_GBK"/>
        <w:sz w:val="24"/>
        <w:szCs w:val="24"/>
      </w:rPr>
      <w:t>- 1 -</w:t>
    </w:r>
    <w:r>
      <w:rPr>
        <w:rFonts w:hint="eastAsia" w:ascii="方正仿宋_GBK" w:eastAsia="方正仿宋_GBK"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B6F4B7"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</w:instrText>
    </w:r>
    <w:r>
      <w:fldChar w:fldCharType="separate"/>
    </w:r>
    <w:r>
      <w:rPr>
        <w:rStyle w:val="8"/>
      </w:rPr>
      <w:t>- 1 -</w:t>
    </w:r>
    <w:r>
      <w:fldChar w:fldCharType="end"/>
    </w:r>
  </w:p>
  <w:p w14:paraId="1C64196F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40773C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E1CCE8"/>
    <w:rsid w:val="1F9835E4"/>
    <w:rsid w:val="2FB7B478"/>
    <w:rsid w:val="3F7FB1E7"/>
    <w:rsid w:val="67E1CCE8"/>
    <w:rsid w:val="6F774242"/>
    <w:rsid w:val="7DDB0F04"/>
    <w:rsid w:val="7FDDAF3A"/>
    <w:rsid w:val="975A4E26"/>
    <w:rsid w:val="9FFB66A4"/>
    <w:rsid w:val="AFFE55A3"/>
    <w:rsid w:val="DF1FC6B2"/>
    <w:rsid w:val="EF735BA4"/>
    <w:rsid w:val="FBDF12FE"/>
    <w:rsid w:val="FFE1B0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978</Words>
  <Characters>993</Characters>
  <Lines>0</Lines>
  <Paragraphs>0</Paragraphs>
  <TotalTime>4.66666666666667</TotalTime>
  <ScaleCrop>false</ScaleCrop>
  <LinksUpToDate>false</LinksUpToDate>
  <CharactersWithSpaces>995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2025-08-12T18:51:00Z</dcterms:created>
  <dc:creator>user</dc:creator>
  <cp:lastModifiedBy>L@L</cp:lastModifiedBy>
  <cp:lastPrinted>2025-08-12T19:05:40Z</cp:lastPrinted>
  <dcterms:modified xsi:type="dcterms:W3CDTF">2025-08-13T05:31:44Z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E7BE4FBB89264589A57A03FFDB9A4F6F_13</vt:lpwstr>
  </property>
</Properties>
</file>