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037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西藏运财商贸有限公司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 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91540121MA6T3R5J1H        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西藏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</w:rPr>
        <w:t>林周县鹏博健康产业园管理委员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</w:rPr>
        <w:t>会106D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赵士宝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你公司“西藏运财商贸有限公司”因未报年度报告，列入经营异常名录，经现场核查及核对税务申报情况，并在拉萨市市场监督管理局公众号进行了拟吊销《营业执照》的公告。我局于2025年5月22日立案调查。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的提示性公告证明已面向社会提醒公告》、企业住所(经营场所）实地核查记录表、本级登记注册连续两年以上未报年报市场主体系统核查截图、西藏自治区综合业务管理系统企业风险信息截屏。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“西藏运财商贸有限公司”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或者开业后自行停业连续6个月以上的，可以由登记机关吊销营业执照”之规定和《企业信息公示暂行条例》第十八条“企业因连续2年未按规定报送年度报告被列入经营异常名录未改正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西藏运财商贸有限公司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34157A0D"/>
    <w:rsid w:val="492606F6"/>
    <w:rsid w:val="6FF10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924</Words>
  <Characters>958</Characters>
  <Lines>0</Lines>
  <Paragraphs>42</Paragraphs>
  <TotalTime>2</TotalTime>
  <ScaleCrop>false</ScaleCrop>
  <LinksUpToDate>false</LinksUpToDate>
  <CharactersWithSpaces>1113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2024-12-13T02:12:00Z</cp:lastPrinted>
  <dcterms:modified xsi:type="dcterms:W3CDTF">2025-07-08T10:51:54Z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